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ADC" w:rsidRDefault="008E2ADC" w:rsidP="008E2ADC">
      <w:pPr>
        <w:spacing w:after="0" w:line="240" w:lineRule="auto"/>
        <w:rPr>
          <w:b/>
          <w:sz w:val="24"/>
          <w:szCs w:val="24"/>
        </w:rPr>
      </w:pPr>
      <w:r>
        <w:rPr>
          <w:b/>
          <w:noProof/>
          <w:sz w:val="24"/>
          <w:szCs w:val="24"/>
        </w:rPr>
        <w:drawing>
          <wp:anchor distT="0" distB="0" distL="114300" distR="114300" simplePos="0" relativeHeight="251659264" behindDoc="0" locked="0" layoutInCell="1" allowOverlap="1">
            <wp:simplePos x="0" y="0"/>
            <wp:positionH relativeFrom="margin">
              <wp:posOffset>9525</wp:posOffset>
            </wp:positionH>
            <wp:positionV relativeFrom="margin">
              <wp:posOffset>-382905</wp:posOffset>
            </wp:positionV>
            <wp:extent cx="2209800" cy="1219200"/>
            <wp:effectExtent l="19050" t="0" r="0" b="0"/>
            <wp:wrapSquare wrapText="bothSides"/>
            <wp:docPr id="1" name="Picture 6" descr="Logo_IACR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ACRN_final.jpg"/>
                    <pic:cNvPicPr>
                      <a:picLocks noChangeAspect="1" noChangeArrowheads="1"/>
                    </pic:cNvPicPr>
                  </pic:nvPicPr>
                  <pic:blipFill>
                    <a:blip r:embed="rId7" cstate="print"/>
                    <a:srcRect/>
                    <a:stretch>
                      <a:fillRect/>
                    </a:stretch>
                  </pic:blipFill>
                  <pic:spPr bwMode="auto">
                    <a:xfrm>
                      <a:off x="0" y="0"/>
                      <a:ext cx="2209800" cy="1219200"/>
                    </a:xfrm>
                    <a:prstGeom prst="rect">
                      <a:avLst/>
                    </a:prstGeom>
                    <a:noFill/>
                    <a:ln w="9525">
                      <a:noFill/>
                      <a:miter lim="800000"/>
                      <a:headEnd/>
                      <a:tailEnd/>
                    </a:ln>
                  </pic:spPr>
                </pic:pic>
              </a:graphicData>
            </a:graphic>
          </wp:anchor>
        </w:drawing>
      </w:r>
    </w:p>
    <w:p w:rsidR="008E2ADC" w:rsidRDefault="008E2ADC" w:rsidP="008E2ADC">
      <w:pPr>
        <w:spacing w:after="0" w:line="240" w:lineRule="auto"/>
        <w:rPr>
          <w:b/>
          <w:sz w:val="24"/>
          <w:szCs w:val="24"/>
        </w:rPr>
      </w:pPr>
    </w:p>
    <w:p w:rsidR="008E2ADC" w:rsidRPr="00B6328D" w:rsidRDefault="00442507" w:rsidP="00286CB5">
      <w:pPr>
        <w:spacing w:after="0" w:line="240" w:lineRule="auto"/>
        <w:jc w:val="center"/>
      </w:pPr>
      <w:r w:rsidRPr="00B6328D">
        <w:rPr>
          <w:b/>
        </w:rPr>
        <w:t xml:space="preserve">IACRN </w:t>
      </w:r>
      <w:r w:rsidR="008E2ADC" w:rsidRPr="00B6328D">
        <w:rPr>
          <w:b/>
        </w:rPr>
        <w:t>Research Committee Minutes</w:t>
      </w:r>
    </w:p>
    <w:p w:rsidR="008E2ADC" w:rsidRPr="00B6328D" w:rsidRDefault="00034B78" w:rsidP="00286CB5">
      <w:pPr>
        <w:pBdr>
          <w:bottom w:val="single" w:sz="4" w:space="1" w:color="auto"/>
        </w:pBdr>
        <w:spacing w:after="0" w:line="240" w:lineRule="auto"/>
        <w:jc w:val="center"/>
        <w:rPr>
          <w:b/>
        </w:rPr>
      </w:pPr>
      <w:r>
        <w:rPr>
          <w:b/>
        </w:rPr>
        <w:t>June 08</w:t>
      </w:r>
      <w:r w:rsidR="003C6583" w:rsidRPr="00B6328D">
        <w:rPr>
          <w:b/>
        </w:rPr>
        <w:t>, 2016</w:t>
      </w:r>
    </w:p>
    <w:p w:rsidR="009B3063" w:rsidRPr="00B6328D" w:rsidRDefault="009B3063" w:rsidP="008E2ADC">
      <w:pPr>
        <w:spacing w:after="0" w:line="240" w:lineRule="auto"/>
      </w:pPr>
    </w:p>
    <w:p w:rsidR="0001018F" w:rsidRDefault="0001018F" w:rsidP="008E2ADC">
      <w:pPr>
        <w:spacing w:after="0" w:line="240" w:lineRule="auto"/>
      </w:pPr>
    </w:p>
    <w:tbl>
      <w:tblPr>
        <w:tblStyle w:val="TableGrid"/>
        <w:tblpPr w:leftFromText="180" w:rightFromText="180" w:vertAnchor="text" w:horzAnchor="margin" w:tblpXSpec="right" w:tblpY="279"/>
        <w:tblW w:w="0" w:type="auto"/>
        <w:tblLook w:val="04A0"/>
      </w:tblPr>
      <w:tblGrid>
        <w:gridCol w:w="828"/>
        <w:gridCol w:w="810"/>
        <w:gridCol w:w="1208"/>
        <w:gridCol w:w="1222"/>
      </w:tblGrid>
      <w:tr w:rsidR="000D1112" w:rsidRPr="00215FDA" w:rsidTr="000D1112">
        <w:tc>
          <w:tcPr>
            <w:tcW w:w="2846" w:type="dxa"/>
            <w:gridSpan w:val="3"/>
            <w:shd w:val="clear" w:color="auto" w:fill="auto"/>
          </w:tcPr>
          <w:p w:rsidR="000D1112" w:rsidRPr="00215FDA" w:rsidRDefault="000D1112" w:rsidP="000D1112">
            <w:pPr>
              <w:jc w:val="center"/>
              <w:rPr>
                <w:rFonts w:eastAsia="Times New Roman" w:cs="Times New Roman"/>
                <w:b/>
                <w:noProof/>
                <w:sz w:val="16"/>
                <w:szCs w:val="16"/>
              </w:rPr>
            </w:pPr>
            <w:r w:rsidRPr="00215FDA">
              <w:rPr>
                <w:rFonts w:eastAsia="Times New Roman" w:cs="Times New Roman"/>
                <w:b/>
                <w:noProof/>
                <w:sz w:val="16"/>
                <w:szCs w:val="16"/>
              </w:rPr>
              <w:t>2016</w:t>
            </w:r>
          </w:p>
        </w:tc>
        <w:tc>
          <w:tcPr>
            <w:tcW w:w="1222" w:type="dxa"/>
            <w:shd w:val="clear" w:color="auto" w:fill="auto"/>
          </w:tcPr>
          <w:p w:rsidR="000D1112" w:rsidRPr="00215FDA" w:rsidRDefault="000D1112" w:rsidP="000D1112">
            <w:pPr>
              <w:jc w:val="center"/>
              <w:rPr>
                <w:rFonts w:eastAsia="Times New Roman" w:cs="Times New Roman"/>
                <w:b/>
                <w:noProof/>
                <w:sz w:val="16"/>
                <w:szCs w:val="16"/>
              </w:rPr>
            </w:pPr>
            <w:r w:rsidRPr="00215FDA">
              <w:rPr>
                <w:rFonts w:eastAsia="Times New Roman" w:cs="Times New Roman"/>
                <w:b/>
                <w:noProof/>
                <w:sz w:val="16"/>
                <w:szCs w:val="16"/>
              </w:rPr>
              <w:t>2017</w:t>
            </w:r>
          </w:p>
        </w:tc>
      </w:tr>
      <w:tr w:rsidR="000D1112" w:rsidRPr="00215FDA" w:rsidTr="000D1112">
        <w:tc>
          <w:tcPr>
            <w:tcW w:w="828" w:type="dxa"/>
            <w:shd w:val="clear" w:color="auto" w:fill="DDD9C3" w:themeFill="background2" w:themeFillShade="E6"/>
          </w:tcPr>
          <w:p w:rsidR="000D1112" w:rsidRPr="00215FDA" w:rsidRDefault="000D1112" w:rsidP="000D1112">
            <w:pPr>
              <w:rPr>
                <w:rFonts w:eastAsia="Times New Roman" w:cs="Times New Roman"/>
                <w:b/>
                <w:noProof/>
                <w:sz w:val="16"/>
                <w:szCs w:val="16"/>
              </w:rPr>
            </w:pPr>
            <w:r w:rsidRPr="00215FDA">
              <w:rPr>
                <w:rFonts w:eastAsia="Times New Roman" w:cs="Times New Roman"/>
                <w:b/>
                <w:noProof/>
                <w:sz w:val="16"/>
                <w:szCs w:val="16"/>
              </w:rPr>
              <w:t>Jan 13</w:t>
            </w:r>
          </w:p>
        </w:tc>
        <w:tc>
          <w:tcPr>
            <w:tcW w:w="810" w:type="dxa"/>
            <w:shd w:val="clear" w:color="auto" w:fill="D9D9D9" w:themeFill="background1" w:themeFillShade="D9"/>
          </w:tcPr>
          <w:p w:rsidR="000D1112" w:rsidRPr="00215FDA" w:rsidRDefault="000D1112" w:rsidP="000D1112">
            <w:pPr>
              <w:rPr>
                <w:rFonts w:eastAsia="Times New Roman" w:cs="Times New Roman"/>
                <w:b/>
                <w:noProof/>
                <w:sz w:val="16"/>
                <w:szCs w:val="16"/>
              </w:rPr>
            </w:pPr>
            <w:r w:rsidRPr="00215FDA">
              <w:rPr>
                <w:rFonts w:eastAsia="Times New Roman" w:cs="Times New Roman"/>
                <w:b/>
                <w:noProof/>
                <w:sz w:val="16"/>
                <w:szCs w:val="16"/>
              </w:rPr>
              <w:t>May 11</w:t>
            </w:r>
          </w:p>
        </w:tc>
        <w:tc>
          <w:tcPr>
            <w:tcW w:w="1208" w:type="dxa"/>
            <w:shd w:val="clear" w:color="auto" w:fill="auto"/>
          </w:tcPr>
          <w:p w:rsidR="000D1112" w:rsidRPr="00215FDA" w:rsidRDefault="000D1112" w:rsidP="000D1112">
            <w:pPr>
              <w:rPr>
                <w:rFonts w:eastAsia="Times New Roman" w:cs="Times New Roman"/>
                <w:b/>
                <w:noProof/>
                <w:sz w:val="16"/>
                <w:szCs w:val="16"/>
              </w:rPr>
            </w:pPr>
            <w:r w:rsidRPr="00215FDA">
              <w:rPr>
                <w:rFonts w:eastAsia="Times New Roman" w:cs="Times New Roman"/>
                <w:b/>
                <w:noProof/>
                <w:sz w:val="16"/>
                <w:szCs w:val="16"/>
              </w:rPr>
              <w:t>Sept 14</w:t>
            </w:r>
          </w:p>
        </w:tc>
        <w:tc>
          <w:tcPr>
            <w:tcW w:w="1222" w:type="dxa"/>
          </w:tcPr>
          <w:p w:rsidR="000D1112" w:rsidRPr="00215FDA" w:rsidRDefault="000D1112" w:rsidP="000D1112">
            <w:pPr>
              <w:rPr>
                <w:rFonts w:eastAsia="Times New Roman" w:cs="Times New Roman"/>
                <w:b/>
                <w:noProof/>
                <w:sz w:val="16"/>
                <w:szCs w:val="16"/>
              </w:rPr>
            </w:pPr>
            <w:r w:rsidRPr="00215FDA">
              <w:rPr>
                <w:rFonts w:eastAsia="Times New Roman" w:cs="Times New Roman"/>
                <w:b/>
                <w:noProof/>
                <w:sz w:val="16"/>
                <w:szCs w:val="16"/>
              </w:rPr>
              <w:t>Jan 11</w:t>
            </w:r>
          </w:p>
        </w:tc>
      </w:tr>
      <w:tr w:rsidR="000D1112" w:rsidRPr="00215FDA" w:rsidTr="000D1112">
        <w:tc>
          <w:tcPr>
            <w:tcW w:w="828" w:type="dxa"/>
            <w:shd w:val="clear" w:color="auto" w:fill="DDD9C3" w:themeFill="background2" w:themeFillShade="E6"/>
          </w:tcPr>
          <w:p w:rsidR="000D1112" w:rsidRPr="00215FDA" w:rsidRDefault="000D1112" w:rsidP="000D1112">
            <w:pPr>
              <w:rPr>
                <w:rFonts w:eastAsia="Times New Roman" w:cs="Times New Roman"/>
                <w:b/>
                <w:noProof/>
                <w:sz w:val="16"/>
                <w:szCs w:val="16"/>
              </w:rPr>
            </w:pPr>
            <w:r w:rsidRPr="00215FDA">
              <w:rPr>
                <w:rFonts w:eastAsia="Times New Roman" w:cs="Times New Roman"/>
                <w:b/>
                <w:noProof/>
                <w:sz w:val="16"/>
                <w:szCs w:val="16"/>
              </w:rPr>
              <w:t>Feb 10</w:t>
            </w:r>
          </w:p>
        </w:tc>
        <w:tc>
          <w:tcPr>
            <w:tcW w:w="810" w:type="dxa"/>
            <w:shd w:val="clear" w:color="auto" w:fill="auto"/>
          </w:tcPr>
          <w:p w:rsidR="000D1112" w:rsidRPr="00215FDA" w:rsidRDefault="000D1112" w:rsidP="000D1112">
            <w:pPr>
              <w:rPr>
                <w:rFonts w:eastAsia="Times New Roman" w:cs="Times New Roman"/>
                <w:b/>
                <w:noProof/>
                <w:sz w:val="16"/>
                <w:szCs w:val="16"/>
              </w:rPr>
            </w:pPr>
            <w:r w:rsidRPr="00215FDA">
              <w:rPr>
                <w:rFonts w:eastAsia="Times New Roman" w:cs="Times New Roman"/>
                <w:b/>
                <w:noProof/>
                <w:sz w:val="16"/>
                <w:szCs w:val="16"/>
              </w:rPr>
              <w:t>Jun 8</w:t>
            </w:r>
          </w:p>
        </w:tc>
        <w:tc>
          <w:tcPr>
            <w:tcW w:w="1208" w:type="dxa"/>
          </w:tcPr>
          <w:p w:rsidR="000D1112" w:rsidRPr="00215FDA" w:rsidRDefault="000D1112" w:rsidP="000D1112">
            <w:pPr>
              <w:rPr>
                <w:rFonts w:eastAsia="Times New Roman" w:cs="Times New Roman"/>
                <w:b/>
                <w:noProof/>
                <w:sz w:val="16"/>
                <w:szCs w:val="16"/>
              </w:rPr>
            </w:pPr>
            <w:r w:rsidRPr="00215FDA">
              <w:rPr>
                <w:rFonts w:eastAsia="Times New Roman" w:cs="Times New Roman"/>
                <w:b/>
                <w:noProof/>
                <w:sz w:val="16"/>
                <w:szCs w:val="16"/>
              </w:rPr>
              <w:t>Oct  12 &amp; 26</w:t>
            </w:r>
          </w:p>
        </w:tc>
        <w:tc>
          <w:tcPr>
            <w:tcW w:w="1222" w:type="dxa"/>
          </w:tcPr>
          <w:p w:rsidR="000D1112" w:rsidRPr="00215FDA" w:rsidRDefault="000D1112" w:rsidP="000D1112">
            <w:pPr>
              <w:rPr>
                <w:rFonts w:eastAsia="Times New Roman" w:cs="Times New Roman"/>
                <w:b/>
                <w:noProof/>
                <w:sz w:val="16"/>
                <w:szCs w:val="16"/>
              </w:rPr>
            </w:pPr>
            <w:r w:rsidRPr="00215FDA">
              <w:rPr>
                <w:rFonts w:eastAsia="Times New Roman" w:cs="Times New Roman"/>
                <w:b/>
                <w:noProof/>
                <w:sz w:val="16"/>
                <w:szCs w:val="16"/>
              </w:rPr>
              <w:t>Feb 8</w:t>
            </w:r>
          </w:p>
        </w:tc>
      </w:tr>
      <w:tr w:rsidR="000D1112" w:rsidRPr="00215FDA" w:rsidTr="000D1112">
        <w:tc>
          <w:tcPr>
            <w:tcW w:w="828" w:type="dxa"/>
            <w:shd w:val="clear" w:color="auto" w:fill="DDD9C3" w:themeFill="background2" w:themeFillShade="E6"/>
          </w:tcPr>
          <w:p w:rsidR="000D1112" w:rsidRPr="00215FDA" w:rsidRDefault="000D1112" w:rsidP="000D1112">
            <w:pPr>
              <w:rPr>
                <w:rFonts w:eastAsia="Times New Roman" w:cs="Times New Roman"/>
                <w:b/>
                <w:noProof/>
                <w:sz w:val="16"/>
                <w:szCs w:val="16"/>
              </w:rPr>
            </w:pPr>
            <w:r w:rsidRPr="00215FDA">
              <w:rPr>
                <w:rFonts w:eastAsia="Times New Roman" w:cs="Times New Roman"/>
                <w:b/>
                <w:noProof/>
                <w:sz w:val="16"/>
                <w:szCs w:val="16"/>
              </w:rPr>
              <w:t>Mar 9</w:t>
            </w:r>
          </w:p>
        </w:tc>
        <w:tc>
          <w:tcPr>
            <w:tcW w:w="810" w:type="dxa"/>
            <w:shd w:val="clear" w:color="auto" w:fill="auto"/>
          </w:tcPr>
          <w:p w:rsidR="000D1112" w:rsidRPr="00215FDA" w:rsidRDefault="000D1112" w:rsidP="000D1112">
            <w:pPr>
              <w:rPr>
                <w:rFonts w:eastAsia="Times New Roman" w:cs="Times New Roman"/>
                <w:b/>
                <w:noProof/>
                <w:sz w:val="16"/>
                <w:szCs w:val="16"/>
              </w:rPr>
            </w:pPr>
            <w:r w:rsidRPr="00215FDA">
              <w:rPr>
                <w:rFonts w:eastAsia="Times New Roman" w:cs="Times New Roman"/>
                <w:b/>
                <w:noProof/>
                <w:sz w:val="16"/>
                <w:szCs w:val="16"/>
              </w:rPr>
              <w:t>Jul 13</w:t>
            </w:r>
          </w:p>
        </w:tc>
        <w:tc>
          <w:tcPr>
            <w:tcW w:w="1208" w:type="dxa"/>
          </w:tcPr>
          <w:p w:rsidR="000D1112" w:rsidRPr="00215FDA" w:rsidRDefault="000D1112" w:rsidP="000D1112">
            <w:pPr>
              <w:rPr>
                <w:rFonts w:eastAsia="Times New Roman" w:cs="Times New Roman"/>
                <w:b/>
                <w:noProof/>
                <w:sz w:val="16"/>
                <w:szCs w:val="16"/>
              </w:rPr>
            </w:pPr>
            <w:r w:rsidRPr="00215FDA">
              <w:rPr>
                <w:rFonts w:eastAsia="Times New Roman" w:cs="Times New Roman"/>
                <w:b/>
                <w:noProof/>
                <w:sz w:val="16"/>
                <w:szCs w:val="16"/>
              </w:rPr>
              <w:t>Nov 9</w:t>
            </w:r>
          </w:p>
        </w:tc>
        <w:tc>
          <w:tcPr>
            <w:tcW w:w="1222" w:type="dxa"/>
          </w:tcPr>
          <w:p w:rsidR="000D1112" w:rsidRPr="00215FDA" w:rsidRDefault="000D1112" w:rsidP="000D1112">
            <w:pPr>
              <w:rPr>
                <w:rFonts w:eastAsia="Times New Roman" w:cs="Times New Roman"/>
                <w:b/>
                <w:noProof/>
                <w:sz w:val="16"/>
                <w:szCs w:val="16"/>
              </w:rPr>
            </w:pPr>
            <w:r w:rsidRPr="00215FDA">
              <w:rPr>
                <w:rFonts w:eastAsia="Times New Roman" w:cs="Times New Roman"/>
                <w:b/>
                <w:noProof/>
                <w:sz w:val="16"/>
                <w:szCs w:val="16"/>
              </w:rPr>
              <w:t>Mar 8</w:t>
            </w:r>
          </w:p>
        </w:tc>
      </w:tr>
      <w:tr w:rsidR="000D1112" w:rsidRPr="00215FDA" w:rsidTr="000D1112">
        <w:tc>
          <w:tcPr>
            <w:tcW w:w="828" w:type="dxa"/>
            <w:shd w:val="clear" w:color="auto" w:fill="D9D9D9" w:themeFill="background1" w:themeFillShade="D9"/>
          </w:tcPr>
          <w:p w:rsidR="000D1112" w:rsidRPr="00215FDA" w:rsidRDefault="000D1112" w:rsidP="000D1112">
            <w:pPr>
              <w:rPr>
                <w:rFonts w:eastAsia="Times New Roman" w:cs="Times New Roman"/>
                <w:b/>
                <w:noProof/>
                <w:sz w:val="16"/>
                <w:szCs w:val="16"/>
              </w:rPr>
            </w:pPr>
            <w:r w:rsidRPr="00215FDA">
              <w:rPr>
                <w:rFonts w:eastAsia="Times New Roman" w:cs="Times New Roman"/>
                <w:b/>
                <w:noProof/>
                <w:sz w:val="16"/>
                <w:szCs w:val="16"/>
              </w:rPr>
              <w:t>Apr 13</w:t>
            </w:r>
          </w:p>
        </w:tc>
        <w:tc>
          <w:tcPr>
            <w:tcW w:w="810" w:type="dxa"/>
            <w:shd w:val="clear" w:color="auto" w:fill="auto"/>
          </w:tcPr>
          <w:p w:rsidR="000D1112" w:rsidRPr="00215FDA" w:rsidRDefault="000D1112" w:rsidP="000D1112">
            <w:pPr>
              <w:rPr>
                <w:rFonts w:eastAsia="Times New Roman" w:cs="Times New Roman"/>
                <w:b/>
                <w:noProof/>
                <w:sz w:val="16"/>
                <w:szCs w:val="16"/>
              </w:rPr>
            </w:pPr>
            <w:r w:rsidRPr="00215FDA">
              <w:rPr>
                <w:rFonts w:eastAsia="Times New Roman" w:cs="Times New Roman"/>
                <w:b/>
                <w:noProof/>
                <w:sz w:val="16"/>
                <w:szCs w:val="16"/>
              </w:rPr>
              <w:t>Aug 10</w:t>
            </w:r>
          </w:p>
        </w:tc>
        <w:tc>
          <w:tcPr>
            <w:tcW w:w="1208" w:type="dxa"/>
          </w:tcPr>
          <w:p w:rsidR="000D1112" w:rsidRPr="00215FDA" w:rsidRDefault="000D1112" w:rsidP="000D1112">
            <w:pPr>
              <w:rPr>
                <w:rFonts w:eastAsia="Times New Roman" w:cs="Times New Roman"/>
                <w:b/>
                <w:noProof/>
                <w:sz w:val="16"/>
                <w:szCs w:val="16"/>
              </w:rPr>
            </w:pPr>
            <w:r w:rsidRPr="00215FDA">
              <w:rPr>
                <w:rFonts w:eastAsia="Times New Roman" w:cs="Times New Roman"/>
                <w:b/>
                <w:noProof/>
                <w:sz w:val="16"/>
                <w:szCs w:val="16"/>
              </w:rPr>
              <w:t>Dec 14</w:t>
            </w:r>
          </w:p>
        </w:tc>
        <w:tc>
          <w:tcPr>
            <w:tcW w:w="1222" w:type="dxa"/>
          </w:tcPr>
          <w:p w:rsidR="000D1112" w:rsidRPr="00215FDA" w:rsidRDefault="000D1112" w:rsidP="000D1112">
            <w:pPr>
              <w:rPr>
                <w:rFonts w:eastAsia="Times New Roman" w:cs="Times New Roman"/>
                <w:b/>
                <w:noProof/>
                <w:sz w:val="16"/>
                <w:szCs w:val="16"/>
              </w:rPr>
            </w:pPr>
            <w:r w:rsidRPr="00215FDA">
              <w:rPr>
                <w:rFonts w:eastAsia="Times New Roman" w:cs="Times New Roman"/>
                <w:b/>
                <w:noProof/>
                <w:sz w:val="16"/>
                <w:szCs w:val="16"/>
              </w:rPr>
              <w:t>Apr 12</w:t>
            </w:r>
          </w:p>
        </w:tc>
      </w:tr>
      <w:tr w:rsidR="000D1112" w:rsidRPr="00215FDA" w:rsidTr="000D1112">
        <w:tc>
          <w:tcPr>
            <w:tcW w:w="4068" w:type="dxa"/>
            <w:gridSpan w:val="4"/>
            <w:shd w:val="clear" w:color="auto" w:fill="auto"/>
          </w:tcPr>
          <w:p w:rsidR="000D1112" w:rsidRPr="00215FDA" w:rsidRDefault="000D1112" w:rsidP="000D1112">
            <w:pPr>
              <w:jc w:val="center"/>
              <w:rPr>
                <w:rFonts w:eastAsia="Times New Roman" w:cs="Times New Roman"/>
                <w:b/>
                <w:noProof/>
                <w:sz w:val="16"/>
                <w:szCs w:val="16"/>
              </w:rPr>
            </w:pPr>
            <w:r w:rsidRPr="00215FDA">
              <w:rPr>
                <w:rFonts w:eastAsia="Times New Roman" w:cs="Times New Roman"/>
                <w:b/>
                <w:noProof/>
                <w:sz w:val="16"/>
                <w:szCs w:val="16"/>
              </w:rPr>
              <w:t>IACRN 8</w:t>
            </w:r>
            <w:r w:rsidRPr="00215FDA">
              <w:rPr>
                <w:rFonts w:eastAsia="Times New Roman" w:cs="Times New Roman"/>
                <w:b/>
                <w:noProof/>
                <w:sz w:val="16"/>
                <w:szCs w:val="16"/>
                <w:vertAlign w:val="superscript"/>
              </w:rPr>
              <w:t>th</w:t>
            </w:r>
            <w:r w:rsidRPr="00215FDA">
              <w:rPr>
                <w:rFonts w:eastAsia="Times New Roman" w:cs="Times New Roman"/>
                <w:b/>
                <w:noProof/>
                <w:sz w:val="16"/>
                <w:szCs w:val="16"/>
              </w:rPr>
              <w:t xml:space="preserve"> Annual Conference,</w:t>
            </w:r>
          </w:p>
          <w:p w:rsidR="000D1112" w:rsidRPr="00215FDA" w:rsidRDefault="000D1112" w:rsidP="000D1112">
            <w:pPr>
              <w:jc w:val="center"/>
              <w:rPr>
                <w:rFonts w:eastAsia="Times New Roman" w:cs="Times New Roman"/>
                <w:b/>
                <w:noProof/>
                <w:sz w:val="16"/>
                <w:szCs w:val="16"/>
              </w:rPr>
            </w:pPr>
            <w:r w:rsidRPr="00215FDA">
              <w:rPr>
                <w:rFonts w:eastAsia="Times New Roman" w:cs="Times New Roman"/>
                <w:b/>
                <w:noProof/>
                <w:sz w:val="16"/>
                <w:szCs w:val="16"/>
              </w:rPr>
              <w:t xml:space="preserve">October 24-26, 2016, </w:t>
            </w:r>
          </w:p>
          <w:p w:rsidR="000D1112" w:rsidRPr="00215FDA" w:rsidRDefault="000D1112" w:rsidP="000D1112">
            <w:pPr>
              <w:jc w:val="center"/>
              <w:rPr>
                <w:rFonts w:eastAsia="Times New Roman" w:cs="Times New Roman"/>
                <w:b/>
                <w:noProof/>
                <w:sz w:val="16"/>
                <w:szCs w:val="16"/>
              </w:rPr>
            </w:pPr>
            <w:r w:rsidRPr="00215FDA">
              <w:rPr>
                <w:rFonts w:eastAsia="Times New Roman" w:cs="Times New Roman"/>
                <w:b/>
                <w:noProof/>
                <w:sz w:val="16"/>
                <w:szCs w:val="16"/>
              </w:rPr>
              <w:t>Wyndam Lake, Buena Vista, Florida.</w:t>
            </w:r>
          </w:p>
          <w:p w:rsidR="000D1112" w:rsidRPr="00215FDA" w:rsidRDefault="000D1112" w:rsidP="000D1112">
            <w:pPr>
              <w:jc w:val="center"/>
              <w:rPr>
                <w:rFonts w:eastAsia="Times New Roman" w:cs="Times New Roman"/>
                <w:b/>
                <w:noProof/>
                <w:sz w:val="16"/>
                <w:szCs w:val="16"/>
              </w:rPr>
            </w:pPr>
            <w:r w:rsidRPr="00215FDA">
              <w:rPr>
                <w:rFonts w:eastAsia="Times New Roman" w:cs="Times New Roman"/>
                <w:b/>
                <w:noProof/>
                <w:sz w:val="16"/>
                <w:szCs w:val="16"/>
              </w:rPr>
              <w:t xml:space="preserve">Please see </w:t>
            </w:r>
            <w:hyperlink r:id="rId8" w:history="1">
              <w:r w:rsidRPr="00215FDA">
                <w:rPr>
                  <w:rStyle w:val="Hyperlink"/>
                  <w:rFonts w:eastAsia="Times New Roman" w:cs="Times New Roman"/>
                  <w:b/>
                  <w:noProof/>
                  <w:sz w:val="16"/>
                  <w:szCs w:val="16"/>
                </w:rPr>
                <w:t>IACRN website</w:t>
              </w:r>
            </w:hyperlink>
            <w:r w:rsidRPr="00215FDA">
              <w:rPr>
                <w:rFonts w:eastAsia="Times New Roman" w:cs="Times New Roman"/>
                <w:b/>
                <w:noProof/>
                <w:sz w:val="16"/>
                <w:szCs w:val="16"/>
              </w:rPr>
              <w:t xml:space="preserve"> for details</w:t>
            </w:r>
          </w:p>
        </w:tc>
      </w:tr>
    </w:tbl>
    <w:p w:rsidR="008E2ADC" w:rsidRPr="00B6328D" w:rsidRDefault="008E2ADC" w:rsidP="008E2ADC">
      <w:pPr>
        <w:spacing w:after="0" w:line="240" w:lineRule="auto"/>
      </w:pPr>
      <w:r w:rsidRPr="00B6328D">
        <w:t>Members Present:</w:t>
      </w:r>
      <w:r w:rsidR="0001018F">
        <w:tab/>
      </w:r>
      <w:r w:rsidR="0001018F">
        <w:tab/>
      </w:r>
      <w:r w:rsidR="0001018F">
        <w:tab/>
      </w:r>
      <w:r w:rsidR="00501456" w:rsidRPr="00B6328D">
        <w:tab/>
      </w:r>
      <w:r w:rsidR="00501456" w:rsidRPr="00B6328D">
        <w:tab/>
      </w:r>
      <w:r w:rsidR="00501456" w:rsidRPr="00B6328D">
        <w:tab/>
      </w:r>
    </w:p>
    <w:tbl>
      <w:tblPr>
        <w:tblStyle w:val="TableGrid"/>
        <w:tblpPr w:leftFromText="180" w:rightFromText="180" w:vertAnchor="text" w:horzAnchor="margin" w:tblpY="182"/>
        <w:tblW w:w="0" w:type="auto"/>
        <w:tblLook w:val="04A0"/>
      </w:tblPr>
      <w:tblGrid>
        <w:gridCol w:w="2953"/>
        <w:gridCol w:w="1670"/>
      </w:tblGrid>
      <w:tr w:rsidR="002B6B5B" w:rsidRPr="00B6328D" w:rsidTr="002B6B5B">
        <w:tc>
          <w:tcPr>
            <w:tcW w:w="2953" w:type="dxa"/>
          </w:tcPr>
          <w:p w:rsidR="002B6B5B" w:rsidRPr="00B6328D" w:rsidRDefault="002B6B5B" w:rsidP="003C6583">
            <w:r w:rsidRPr="00B6328D">
              <w:t>Cheryl Fisher - Chair</w:t>
            </w:r>
          </w:p>
        </w:tc>
        <w:tc>
          <w:tcPr>
            <w:tcW w:w="1670" w:type="dxa"/>
          </w:tcPr>
          <w:p w:rsidR="002B6B5B" w:rsidRPr="00B6328D" w:rsidRDefault="002B6B5B" w:rsidP="003C6583">
            <w:r>
              <w:t>Carolynn Jones</w:t>
            </w:r>
          </w:p>
        </w:tc>
      </w:tr>
      <w:tr w:rsidR="000A7851" w:rsidRPr="00B6328D" w:rsidTr="002B6B5B">
        <w:tc>
          <w:tcPr>
            <w:tcW w:w="2953" w:type="dxa"/>
          </w:tcPr>
          <w:p w:rsidR="000A7851" w:rsidRPr="00B6328D" w:rsidRDefault="000A7851" w:rsidP="000A7851">
            <w:r>
              <w:t>Kathy Hall – Chair Elect</w:t>
            </w:r>
          </w:p>
        </w:tc>
        <w:tc>
          <w:tcPr>
            <w:tcW w:w="1670" w:type="dxa"/>
          </w:tcPr>
          <w:p w:rsidR="000A7851" w:rsidRPr="00B6328D" w:rsidRDefault="000A7851" w:rsidP="000A7851">
            <w:r>
              <w:t>Kathy Grinke</w:t>
            </w:r>
          </w:p>
        </w:tc>
      </w:tr>
      <w:tr w:rsidR="000A7851" w:rsidRPr="00B6328D" w:rsidTr="002B6B5B">
        <w:tc>
          <w:tcPr>
            <w:tcW w:w="2953" w:type="dxa"/>
          </w:tcPr>
          <w:p w:rsidR="000A7851" w:rsidRPr="00B6328D" w:rsidRDefault="000A7851" w:rsidP="000A7851">
            <w:r w:rsidRPr="00B6328D">
              <w:t>Catherine Griffith - Facilitator</w:t>
            </w:r>
          </w:p>
        </w:tc>
        <w:tc>
          <w:tcPr>
            <w:tcW w:w="1670" w:type="dxa"/>
          </w:tcPr>
          <w:p w:rsidR="000A7851" w:rsidRDefault="000A7851" w:rsidP="000A7851">
            <w:r>
              <w:t>Joy Bailey</w:t>
            </w:r>
          </w:p>
        </w:tc>
      </w:tr>
      <w:tr w:rsidR="000A7851" w:rsidRPr="00B6328D" w:rsidTr="002B6B5B">
        <w:tc>
          <w:tcPr>
            <w:tcW w:w="2953" w:type="dxa"/>
          </w:tcPr>
          <w:p w:rsidR="000A7851" w:rsidRPr="00B6328D" w:rsidRDefault="000A7851" w:rsidP="000A7851">
            <w:r>
              <w:t>Shaunagh Browning</w:t>
            </w:r>
          </w:p>
        </w:tc>
        <w:tc>
          <w:tcPr>
            <w:tcW w:w="1670" w:type="dxa"/>
          </w:tcPr>
          <w:p w:rsidR="000A7851" w:rsidRDefault="000A7851" w:rsidP="000A7851">
            <w:r>
              <w:t>Rosemary Keller</w:t>
            </w:r>
          </w:p>
        </w:tc>
      </w:tr>
    </w:tbl>
    <w:p w:rsidR="00A024D0" w:rsidRDefault="00A024D0" w:rsidP="00A024D0">
      <w:pPr>
        <w:spacing w:after="0" w:line="240" w:lineRule="auto"/>
        <w:rPr>
          <w:sz w:val="24"/>
          <w:szCs w:val="24"/>
        </w:rPr>
      </w:pPr>
    </w:p>
    <w:p w:rsidR="002B6B5B" w:rsidRDefault="002B6B5B" w:rsidP="00CF21E3">
      <w:pPr>
        <w:spacing w:after="0" w:line="240" w:lineRule="auto"/>
      </w:pPr>
    </w:p>
    <w:p w:rsidR="002B6B5B" w:rsidRDefault="002B6B5B" w:rsidP="00CF21E3">
      <w:pPr>
        <w:spacing w:after="0" w:line="240" w:lineRule="auto"/>
      </w:pPr>
    </w:p>
    <w:p w:rsidR="002B6B5B" w:rsidRDefault="002B6B5B" w:rsidP="00CF21E3">
      <w:pPr>
        <w:spacing w:after="0" w:line="240" w:lineRule="auto"/>
      </w:pPr>
    </w:p>
    <w:p w:rsidR="000A7851" w:rsidRDefault="000A7851" w:rsidP="00CF21E3">
      <w:pPr>
        <w:spacing w:after="0" w:line="240" w:lineRule="auto"/>
      </w:pPr>
    </w:p>
    <w:p w:rsidR="000A7851" w:rsidRDefault="000A7851" w:rsidP="00CF21E3">
      <w:pPr>
        <w:spacing w:after="0" w:line="240" w:lineRule="auto"/>
      </w:pPr>
    </w:p>
    <w:p w:rsidR="002B6B5B" w:rsidRDefault="002B6B5B" w:rsidP="00CF21E3">
      <w:pPr>
        <w:spacing w:after="0" w:line="240" w:lineRule="auto"/>
      </w:pPr>
      <w:r>
        <w:t>Meeting convened at 3:35</w:t>
      </w:r>
      <w:r w:rsidR="00A024D0" w:rsidRPr="00B6328D">
        <w:t xml:space="preserve">PM EST:    </w:t>
      </w:r>
    </w:p>
    <w:p w:rsidR="00214B84" w:rsidRDefault="00A024D0" w:rsidP="00CF21E3">
      <w:pPr>
        <w:spacing w:after="0" w:line="240" w:lineRule="auto"/>
      </w:pPr>
      <w:r w:rsidRPr="00B6328D">
        <w:t>Cheryl Fisher, Committee Chair presiding</w:t>
      </w:r>
    </w:p>
    <w:p w:rsidR="002B6B5B" w:rsidRPr="00B6328D" w:rsidRDefault="002B6B5B" w:rsidP="00CF21E3">
      <w:pPr>
        <w:spacing w:after="0" w:line="240" w:lineRule="auto"/>
      </w:pPr>
    </w:p>
    <w:p w:rsidR="009A318E" w:rsidRDefault="009A318E" w:rsidP="00B245BE">
      <w:pPr>
        <w:pStyle w:val="ListParagraph"/>
        <w:numPr>
          <w:ilvl w:val="0"/>
          <w:numId w:val="1"/>
        </w:numPr>
        <w:spacing w:after="0" w:line="240" w:lineRule="auto"/>
      </w:pPr>
      <w:r w:rsidRPr="00B6328D">
        <w:t xml:space="preserve">Announcements:  </w:t>
      </w:r>
    </w:p>
    <w:p w:rsidR="00F3130F" w:rsidRDefault="00421FC5" w:rsidP="000D1112">
      <w:pPr>
        <w:pStyle w:val="ListParagraph"/>
        <w:numPr>
          <w:ilvl w:val="1"/>
          <w:numId w:val="1"/>
        </w:numPr>
        <w:spacing w:after="0" w:line="240" w:lineRule="auto"/>
        <w:ind w:right="-18"/>
      </w:pPr>
      <w:r>
        <w:t>U</w:t>
      </w:r>
      <w:r w:rsidR="000A7851">
        <w:t xml:space="preserve">pdated </w:t>
      </w:r>
      <w:r w:rsidR="000D1112">
        <w:t xml:space="preserve">Research </w:t>
      </w:r>
      <w:r w:rsidR="000A7851">
        <w:t>Committee Meeting invitation for Outlook</w:t>
      </w:r>
      <w:r w:rsidR="000D1112">
        <w:t xml:space="preserve"> monthly calendar</w:t>
      </w:r>
      <w:r>
        <w:t xml:space="preserve"> to be sent out</w:t>
      </w:r>
      <w:r w:rsidR="000A7851">
        <w:t xml:space="preserve">.  </w:t>
      </w:r>
    </w:p>
    <w:p w:rsidR="00F3130F" w:rsidRDefault="000A7851" w:rsidP="00F3130F">
      <w:pPr>
        <w:pStyle w:val="ListParagraph"/>
        <w:numPr>
          <w:ilvl w:val="1"/>
          <w:numId w:val="1"/>
        </w:numPr>
        <w:spacing w:after="0" w:line="240" w:lineRule="auto"/>
      </w:pPr>
      <w:r>
        <w:t xml:space="preserve">Gwen </w:t>
      </w:r>
      <w:proofErr w:type="spellStart"/>
      <w:r>
        <w:t>Wallen</w:t>
      </w:r>
      <w:proofErr w:type="spellEnd"/>
      <w:r>
        <w:t xml:space="preserve"> is temporarily leaving the Committee due to demands of her position as Acting Chief Nursing Officer of NIH Clinical Center.  She plans to rejoin at a later date.</w:t>
      </w:r>
    </w:p>
    <w:p w:rsidR="00326626" w:rsidRDefault="00326626" w:rsidP="00F3130F">
      <w:pPr>
        <w:pStyle w:val="ListParagraph"/>
        <w:numPr>
          <w:ilvl w:val="1"/>
          <w:numId w:val="1"/>
        </w:numPr>
        <w:spacing w:after="0" w:line="240" w:lineRule="auto"/>
      </w:pPr>
      <w:r>
        <w:t>Research Committee Abstracts for 2016 Orlando Conference:  Great job everyone!</w:t>
      </w:r>
    </w:p>
    <w:p w:rsidR="00326626" w:rsidRDefault="00326626" w:rsidP="00326626">
      <w:pPr>
        <w:pStyle w:val="ListParagraph"/>
        <w:numPr>
          <w:ilvl w:val="2"/>
          <w:numId w:val="1"/>
        </w:numPr>
        <w:spacing w:after="0" w:line="240" w:lineRule="auto"/>
      </w:pPr>
      <w:r>
        <w:t xml:space="preserve">Preconference:  </w:t>
      </w:r>
      <w:r w:rsidR="00421FC5">
        <w:t xml:space="preserve">Research Committee preconference abstract accepted. </w:t>
      </w:r>
    </w:p>
    <w:p w:rsidR="00326626" w:rsidRDefault="00326626" w:rsidP="00326626">
      <w:pPr>
        <w:pStyle w:val="ListParagraph"/>
        <w:numPr>
          <w:ilvl w:val="2"/>
          <w:numId w:val="1"/>
        </w:numPr>
        <w:spacing w:after="0" w:line="240" w:lineRule="auto"/>
      </w:pPr>
      <w:r>
        <w:t>Podiums:  Both abstracts from subcommittees (Workforce and Metrics) were accepted.</w:t>
      </w:r>
    </w:p>
    <w:p w:rsidR="00326626" w:rsidRDefault="00326626" w:rsidP="00034B78">
      <w:pPr>
        <w:pStyle w:val="ListParagraph"/>
        <w:numPr>
          <w:ilvl w:val="2"/>
          <w:numId w:val="1"/>
        </w:numPr>
        <w:spacing w:after="0" w:line="240" w:lineRule="auto"/>
      </w:pPr>
      <w:r>
        <w:t>Posters:</w:t>
      </w:r>
      <w:r w:rsidR="00034B78">
        <w:t xml:space="preserve">  </w:t>
      </w:r>
      <w:r>
        <w:t xml:space="preserve">Committee poster is finalized.  Will be sent to </w:t>
      </w:r>
      <w:r w:rsidR="00034B78">
        <w:t xml:space="preserve">IACRN </w:t>
      </w:r>
      <w:r>
        <w:t xml:space="preserve">Board for review.  Cheryl </w:t>
      </w:r>
      <w:r w:rsidR="00421FC5">
        <w:t>has arranged for printing at NIH.</w:t>
      </w:r>
    </w:p>
    <w:p w:rsidR="00326626" w:rsidRPr="00B6328D" w:rsidRDefault="00326626" w:rsidP="00034B78">
      <w:pPr>
        <w:pStyle w:val="ListParagraph"/>
        <w:numPr>
          <w:ilvl w:val="2"/>
          <w:numId w:val="1"/>
        </w:numPr>
        <w:spacing w:after="0" w:line="240" w:lineRule="auto"/>
        <w:rPr>
          <w:rStyle w:val="apple-converted-space"/>
        </w:rPr>
      </w:pPr>
      <w:r>
        <w:t>Several Committee members submitted posters</w:t>
      </w:r>
      <w:r w:rsidR="00034B78">
        <w:t xml:space="preserve"> and podiums</w:t>
      </w:r>
      <w:r>
        <w:t xml:space="preserve"> which were accepted.</w:t>
      </w:r>
    </w:p>
    <w:p w:rsidR="0045781E" w:rsidRPr="00B6328D" w:rsidRDefault="0045781E" w:rsidP="0045781E">
      <w:pPr>
        <w:spacing w:after="0" w:line="240" w:lineRule="auto"/>
      </w:pPr>
    </w:p>
    <w:p w:rsidR="00B245BE" w:rsidRPr="00B6328D" w:rsidRDefault="000A7851" w:rsidP="00B245BE">
      <w:pPr>
        <w:pStyle w:val="ListParagraph"/>
        <w:numPr>
          <w:ilvl w:val="0"/>
          <w:numId w:val="1"/>
        </w:numPr>
        <w:spacing w:after="0" w:line="240" w:lineRule="auto"/>
      </w:pPr>
      <w:r>
        <w:t>May 11</w:t>
      </w:r>
      <w:r w:rsidR="009A318E" w:rsidRPr="00B6328D">
        <w:t xml:space="preserve">, </w:t>
      </w:r>
      <w:r w:rsidR="006A76B0" w:rsidRPr="00B6328D">
        <w:t>2016</w:t>
      </w:r>
      <w:r w:rsidR="000D1112">
        <w:t xml:space="preserve"> draft minutes review</w:t>
      </w:r>
      <w:r w:rsidR="00FC791E">
        <w:t>ed</w:t>
      </w:r>
      <w:r>
        <w:t xml:space="preserve">: </w:t>
      </w:r>
      <w:r w:rsidR="00E16136">
        <w:t>minutes approved with a date correction</w:t>
      </w:r>
      <w:r>
        <w:t xml:space="preserve"> for ISRC </w:t>
      </w:r>
      <w:r w:rsidR="000D1112">
        <w:t>consultation/</w:t>
      </w:r>
      <w:r>
        <w:t xml:space="preserve">review for Workforce-domain of Practice proposal – corrected </w:t>
      </w:r>
      <w:r w:rsidR="00326626">
        <w:t>date is June 27</w:t>
      </w:r>
      <w:r>
        <w:t>.</w:t>
      </w:r>
      <w:r w:rsidR="00326626">
        <w:t xml:space="preserve"> (Carolynn 1</w:t>
      </w:r>
      <w:r w:rsidR="00326626" w:rsidRPr="00326626">
        <w:rPr>
          <w:vertAlign w:val="superscript"/>
        </w:rPr>
        <w:t>st</w:t>
      </w:r>
      <w:r w:rsidR="00326626">
        <w:t xml:space="preserve"> / Shaunagh 2</w:t>
      </w:r>
      <w:r w:rsidR="00326626" w:rsidRPr="00326626">
        <w:rPr>
          <w:vertAlign w:val="superscript"/>
        </w:rPr>
        <w:t>nd</w:t>
      </w:r>
      <w:r w:rsidR="00326626">
        <w:t>).</w:t>
      </w:r>
    </w:p>
    <w:p w:rsidR="00B84C00" w:rsidRPr="00B6328D" w:rsidRDefault="00B84C00" w:rsidP="00B84C00">
      <w:pPr>
        <w:pStyle w:val="ListParagraph"/>
        <w:spacing w:after="0" w:line="240" w:lineRule="auto"/>
        <w:ind w:left="360"/>
      </w:pPr>
    </w:p>
    <w:p w:rsidR="00091CD9" w:rsidRDefault="00091CD9" w:rsidP="00091CD9">
      <w:pPr>
        <w:spacing w:after="0" w:line="240" w:lineRule="auto"/>
        <w:ind w:left="720"/>
      </w:pPr>
    </w:p>
    <w:p w:rsidR="00FC791E" w:rsidRDefault="00E16136" w:rsidP="00FC791E">
      <w:pPr>
        <w:pStyle w:val="ListParagraph"/>
        <w:numPr>
          <w:ilvl w:val="0"/>
          <w:numId w:val="1"/>
        </w:numPr>
        <w:spacing w:after="0" w:line="240" w:lineRule="auto"/>
      </w:pPr>
      <w:r>
        <w:t xml:space="preserve">Update on </w:t>
      </w:r>
      <w:r w:rsidR="006A76B0" w:rsidRPr="00B6328D">
        <w:t>Workforce-Domains</w:t>
      </w:r>
      <w:r>
        <w:t xml:space="preserve"> Project</w:t>
      </w:r>
      <w:r w:rsidR="006A76B0" w:rsidRPr="00B6328D">
        <w:t xml:space="preserve">: </w:t>
      </w:r>
      <w:r w:rsidR="0037095F" w:rsidRPr="00B6328D">
        <w:t>Cheryl</w:t>
      </w:r>
    </w:p>
    <w:p w:rsidR="00B26B80" w:rsidRDefault="000D1112" w:rsidP="00FC791E">
      <w:pPr>
        <w:pStyle w:val="ListParagraph"/>
        <w:numPr>
          <w:ilvl w:val="1"/>
          <w:numId w:val="1"/>
        </w:numPr>
        <w:spacing w:after="0" w:line="240" w:lineRule="auto"/>
      </w:pPr>
      <w:r>
        <w:t xml:space="preserve">Title:  </w:t>
      </w:r>
      <w:r w:rsidR="00FC791E" w:rsidRPr="00FC791E">
        <w:rPr>
          <w:rFonts w:cs="Arial"/>
          <w:bCs/>
        </w:rPr>
        <w:t>Extending the Description of the Clinical Research Nursing Workforce</w:t>
      </w:r>
    </w:p>
    <w:p w:rsidR="004D6EFB" w:rsidRPr="00B6328D" w:rsidRDefault="000D1112" w:rsidP="00FC791E">
      <w:pPr>
        <w:pStyle w:val="ListParagraph"/>
        <w:numPr>
          <w:ilvl w:val="1"/>
          <w:numId w:val="1"/>
        </w:numPr>
        <w:spacing w:after="0" w:line="240" w:lineRule="auto"/>
      </w:pPr>
      <w:r>
        <w:t xml:space="preserve">Proposal will be sent to committee members within the next couple of days.  </w:t>
      </w:r>
      <w:r w:rsidR="00C343E6">
        <w:t>Committee members</w:t>
      </w:r>
      <w:r w:rsidR="00034B78">
        <w:t>,</w:t>
      </w:r>
      <w:r w:rsidR="00C343E6">
        <w:t xml:space="preserve"> please review and provide feedback as soon as you can.  </w:t>
      </w:r>
      <w:r w:rsidR="00091CD9">
        <w:t xml:space="preserve">Meeting with </w:t>
      </w:r>
      <w:r w:rsidR="007624D3" w:rsidRPr="00FC791E">
        <w:t xml:space="preserve">NIH </w:t>
      </w:r>
      <w:r w:rsidR="000D4C3E" w:rsidRPr="00FC791E">
        <w:t>Intramural Scientific Review Committee for Clinical Center Nursing De</w:t>
      </w:r>
      <w:r w:rsidR="007624D3" w:rsidRPr="00FC791E">
        <w:t>pt (ISRC)</w:t>
      </w:r>
      <w:r w:rsidR="00091CD9" w:rsidRPr="00FC791E">
        <w:t xml:space="preserve"> for comments and feedback </w:t>
      </w:r>
      <w:r w:rsidR="007624D3" w:rsidRPr="00FC791E">
        <w:t>has been reschedul</w:t>
      </w:r>
      <w:r w:rsidR="00062E42" w:rsidRPr="00FC791E">
        <w:t>ed to June 27</w:t>
      </w:r>
      <w:r w:rsidR="00091CD9" w:rsidRPr="00FC791E">
        <w:t>,</w:t>
      </w:r>
      <w:r w:rsidR="000D4C3E" w:rsidRPr="00B6328D">
        <w:t xml:space="preserve"> 2:00</w:t>
      </w:r>
      <w:r w:rsidR="00091CD9">
        <w:t xml:space="preserve"> </w:t>
      </w:r>
      <w:r w:rsidR="000D4C3E" w:rsidRPr="00B6328D">
        <w:t>to 3:30pm; Cheryl will do the presentation and then ask</w:t>
      </w:r>
      <w:r>
        <w:t xml:space="preserve"> for comments and feedback.  </w:t>
      </w:r>
      <w:r w:rsidR="007624D3">
        <w:t xml:space="preserve">Cheryl will send out an invitation with teleconference </w:t>
      </w:r>
      <w:r w:rsidR="00FC791E">
        <w:t xml:space="preserve">dial-in </w:t>
      </w:r>
      <w:r w:rsidR="007624D3">
        <w:t xml:space="preserve">numbers.  </w:t>
      </w:r>
      <w:r w:rsidR="000D4C3E" w:rsidRPr="00B6328D">
        <w:t>Committee members are invited to attend via teleconference</w:t>
      </w:r>
      <w:r w:rsidR="00C343E6">
        <w:t xml:space="preserve"> or in person</w:t>
      </w:r>
      <w:r w:rsidR="000D4C3E" w:rsidRPr="00B6328D">
        <w:t>.</w:t>
      </w:r>
      <w:r w:rsidR="005D48C9">
        <w:t xml:space="preserve">  </w:t>
      </w:r>
    </w:p>
    <w:p w:rsidR="000D1112" w:rsidRDefault="000D1112" w:rsidP="00FC791E">
      <w:pPr>
        <w:pStyle w:val="ListParagraph"/>
        <w:numPr>
          <w:ilvl w:val="1"/>
          <w:numId w:val="1"/>
        </w:numPr>
        <w:spacing w:after="0" w:line="240" w:lineRule="auto"/>
      </w:pPr>
      <w:r>
        <w:t xml:space="preserve">Gordon Hill has agreed to review the proposal and make suggestions from international perspective, in particular, questions collecting data on training and resources available to CRNs in other parts of the world.  </w:t>
      </w:r>
    </w:p>
    <w:p w:rsidR="00B26B80" w:rsidRDefault="00C343E6" w:rsidP="00FC791E">
      <w:pPr>
        <w:pStyle w:val="ListParagraph"/>
        <w:numPr>
          <w:ilvl w:val="1"/>
          <w:numId w:val="1"/>
        </w:numPr>
        <w:spacing w:after="0" w:line="240" w:lineRule="auto"/>
      </w:pPr>
      <w:r>
        <w:t>Next step is to submit to NIH IRB.</w:t>
      </w:r>
    </w:p>
    <w:p w:rsidR="00B26B80" w:rsidRDefault="00B26B80" w:rsidP="00FC791E">
      <w:pPr>
        <w:spacing w:after="0" w:line="240" w:lineRule="auto"/>
      </w:pPr>
    </w:p>
    <w:p w:rsidR="00034B78" w:rsidRDefault="00034B78" w:rsidP="00FC791E">
      <w:pPr>
        <w:spacing w:after="0" w:line="240" w:lineRule="auto"/>
      </w:pPr>
    </w:p>
    <w:p w:rsidR="00B26B80" w:rsidRPr="000D1112" w:rsidRDefault="00B26B80" w:rsidP="00B26B80">
      <w:pPr>
        <w:pStyle w:val="ListParagraph"/>
        <w:numPr>
          <w:ilvl w:val="0"/>
          <w:numId w:val="1"/>
        </w:numPr>
        <w:spacing w:after="0" w:line="240" w:lineRule="auto"/>
      </w:pPr>
      <w:r w:rsidRPr="000D1112">
        <w:t xml:space="preserve">Update on Metrics Project:  Carolynn/Penny; </w:t>
      </w:r>
    </w:p>
    <w:p w:rsidR="00B26B80" w:rsidRPr="000D1112" w:rsidRDefault="00B26B80" w:rsidP="00B26B80">
      <w:pPr>
        <w:pStyle w:val="ListParagraph"/>
        <w:numPr>
          <w:ilvl w:val="1"/>
          <w:numId w:val="1"/>
        </w:numPr>
        <w:spacing w:after="0" w:line="240" w:lineRule="auto"/>
      </w:pPr>
      <w:r>
        <w:t>Title: “</w:t>
      </w:r>
      <w:r w:rsidRPr="000D1112">
        <w:rPr>
          <w:rFonts w:cs="Calibri"/>
          <w:color w:val="000000" w:themeColor="text1"/>
        </w:rPr>
        <w:t>A Retrospective blinded pilot study comparing study outcomes between nurses and non-nurses on protocol deviation rates.</w:t>
      </w:r>
      <w:r>
        <w:rPr>
          <w:rFonts w:cs="Calibri"/>
          <w:color w:val="000000" w:themeColor="text1"/>
        </w:rPr>
        <w:t>”</w:t>
      </w:r>
    </w:p>
    <w:p w:rsidR="00B26B80" w:rsidRPr="000D1112" w:rsidRDefault="00B26B80" w:rsidP="00B26B80">
      <w:pPr>
        <w:pStyle w:val="ListParagraph"/>
        <w:numPr>
          <w:ilvl w:val="1"/>
          <w:numId w:val="1"/>
        </w:numPr>
        <w:spacing w:after="0" w:line="240" w:lineRule="auto"/>
      </w:pPr>
      <w:r w:rsidRPr="000D1112">
        <w:lastRenderedPageBreak/>
        <w:t xml:space="preserve">Penny discovered that one of the studies we had intended to review was actually an observational study; </w:t>
      </w:r>
      <w:r>
        <w:t xml:space="preserve">currently </w:t>
      </w:r>
      <w:r w:rsidRPr="000D1112">
        <w:t>looking for another that has a clinical intervention.</w:t>
      </w:r>
    </w:p>
    <w:p w:rsidR="00B26B80" w:rsidRPr="000D1112" w:rsidRDefault="00B26B80" w:rsidP="00B26B80">
      <w:pPr>
        <w:pStyle w:val="ListParagraph"/>
        <w:numPr>
          <w:ilvl w:val="1"/>
          <w:numId w:val="1"/>
        </w:numPr>
        <w:spacing w:after="0" w:line="240" w:lineRule="auto"/>
      </w:pPr>
      <w:r w:rsidRPr="000D1112">
        <w:t>IRB expedited review to UAB.</w:t>
      </w:r>
    </w:p>
    <w:p w:rsidR="00B26B80" w:rsidRPr="000D1112" w:rsidRDefault="00B26B80" w:rsidP="00B26B80">
      <w:pPr>
        <w:pStyle w:val="ListParagraph"/>
        <w:numPr>
          <w:ilvl w:val="1"/>
          <w:numId w:val="1"/>
        </w:numPr>
        <w:spacing w:after="0" w:line="240" w:lineRule="auto"/>
      </w:pPr>
      <w:r w:rsidRPr="000D1112">
        <w:t>Goal is to have preliminary data to present at Orlando Conference.</w:t>
      </w:r>
    </w:p>
    <w:p w:rsidR="00B26B80" w:rsidRPr="000D1112" w:rsidRDefault="00B26B80" w:rsidP="00B26B80">
      <w:pPr>
        <w:spacing w:after="0" w:line="240" w:lineRule="auto"/>
        <w:ind w:left="720"/>
      </w:pPr>
    </w:p>
    <w:p w:rsidR="00FC791E" w:rsidRDefault="00B26B80" w:rsidP="00FC791E">
      <w:pPr>
        <w:pStyle w:val="ListParagraph"/>
        <w:numPr>
          <w:ilvl w:val="0"/>
          <w:numId w:val="1"/>
        </w:numPr>
        <w:spacing w:after="0" w:line="240" w:lineRule="auto"/>
      </w:pPr>
      <w:r>
        <w:t>Update on Preconference</w:t>
      </w:r>
    </w:p>
    <w:p w:rsidR="00FC791E" w:rsidRDefault="00B26B80" w:rsidP="00FC791E">
      <w:pPr>
        <w:pStyle w:val="ListParagraph"/>
        <w:numPr>
          <w:ilvl w:val="1"/>
          <w:numId w:val="1"/>
        </w:numPr>
        <w:spacing w:after="0" w:line="240" w:lineRule="auto"/>
      </w:pPr>
      <w:r>
        <w:t xml:space="preserve">Title:  </w:t>
      </w:r>
      <w:r w:rsidR="00FC791E" w:rsidRPr="009E7DC0">
        <w:t>Generating Clinical Research Nurse Priorities Consistent with IACRN’s Mission, Vision, and</w:t>
      </w:r>
      <w:r w:rsidR="00FC791E">
        <w:t xml:space="preserve"> Strategic Plan Using </w:t>
      </w:r>
      <w:r w:rsidR="00FC791E" w:rsidRPr="009E7DC0">
        <w:t>Nominal Group Technique</w:t>
      </w:r>
    </w:p>
    <w:p w:rsidR="00D03835" w:rsidRDefault="00D03835" w:rsidP="00FC791E">
      <w:pPr>
        <w:pStyle w:val="ListParagraph"/>
        <w:numPr>
          <w:ilvl w:val="1"/>
          <w:numId w:val="1"/>
        </w:numPr>
        <w:spacing w:after="0" w:line="240" w:lineRule="auto"/>
      </w:pPr>
      <w:r>
        <w:t>Discussion related to</w:t>
      </w:r>
      <w:r w:rsidR="00B12637">
        <w:t>:</w:t>
      </w:r>
      <w:r>
        <w:t xml:space="preserve"> </w:t>
      </w:r>
    </w:p>
    <w:p w:rsidR="00B26B80" w:rsidRDefault="00D03835" w:rsidP="00D03835">
      <w:pPr>
        <w:pStyle w:val="ListParagraph"/>
        <w:numPr>
          <w:ilvl w:val="2"/>
          <w:numId w:val="1"/>
        </w:numPr>
        <w:spacing w:after="0" w:line="240" w:lineRule="auto"/>
      </w:pPr>
      <w:r>
        <w:t>IRB submission requirements; Catherine submitting to Partners.org IRB.</w:t>
      </w:r>
    </w:p>
    <w:p w:rsidR="00B26B80" w:rsidRDefault="00B12637" w:rsidP="00A25121">
      <w:pPr>
        <w:pStyle w:val="ListParagraph"/>
        <w:numPr>
          <w:ilvl w:val="2"/>
          <w:numId w:val="1"/>
        </w:numPr>
        <w:spacing w:after="0" w:line="240" w:lineRule="auto"/>
      </w:pPr>
      <w:r>
        <w:t xml:space="preserve">Challenge is to maintain </w:t>
      </w:r>
      <w:r w:rsidR="00A25121">
        <w:t>balance between</w:t>
      </w:r>
      <w:r w:rsidR="00D03835">
        <w:t xml:space="preserve"> fulfilling </w:t>
      </w:r>
      <w:r w:rsidR="00A25121">
        <w:t xml:space="preserve">the requirement for </w:t>
      </w:r>
      <w:r w:rsidR="00D03835">
        <w:t>award</w:t>
      </w:r>
      <w:r w:rsidR="00A25121">
        <w:t>ing contact hours and collecting</w:t>
      </w:r>
      <w:r w:rsidR="00D03835">
        <w:t xml:space="preserve"> data to answer research question of generating </w:t>
      </w:r>
      <w:r w:rsidR="00A25121">
        <w:t xml:space="preserve">a </w:t>
      </w:r>
      <w:r w:rsidR="00D03835">
        <w:t>research priority list congruent with IACRN mission, vision, strategic plan.  Contact hour requirement grounded in didactic and teaching attendees how to use the NGT.   Contact hours are not awarded for research data collection.</w:t>
      </w:r>
    </w:p>
    <w:p w:rsidR="00B12637" w:rsidRDefault="00B12637" w:rsidP="00B12637">
      <w:pPr>
        <w:spacing w:after="0" w:line="240" w:lineRule="auto"/>
        <w:ind w:left="1620"/>
      </w:pPr>
    </w:p>
    <w:p w:rsidR="00034B78" w:rsidRDefault="00034B78" w:rsidP="00034B78">
      <w:pPr>
        <w:pStyle w:val="ListParagraph"/>
        <w:numPr>
          <w:ilvl w:val="0"/>
          <w:numId w:val="1"/>
        </w:numPr>
        <w:spacing w:after="0" w:line="240" w:lineRule="auto"/>
      </w:pPr>
      <w:r>
        <w:t>Meeting adjourned at 4:0</w:t>
      </w:r>
      <w:r w:rsidRPr="000D1112">
        <w:t>0pm</w:t>
      </w:r>
    </w:p>
    <w:p w:rsidR="000D1112" w:rsidRDefault="000D1112" w:rsidP="00B12637">
      <w:pPr>
        <w:spacing w:after="0" w:line="240" w:lineRule="auto"/>
      </w:pPr>
    </w:p>
    <w:p w:rsidR="00B12637" w:rsidRDefault="00B12637" w:rsidP="00B12637">
      <w:pPr>
        <w:spacing w:after="0" w:line="240" w:lineRule="auto"/>
      </w:pPr>
    </w:p>
    <w:p w:rsidR="006A76B0" w:rsidRPr="00B6328D" w:rsidRDefault="00034B78" w:rsidP="006A76B0">
      <w:pPr>
        <w:pStyle w:val="ListParagraph"/>
        <w:spacing w:after="0" w:line="240" w:lineRule="auto"/>
        <w:ind w:left="0"/>
      </w:pPr>
      <w:r>
        <w:t>Next meeting July 13</w:t>
      </w:r>
      <w:r w:rsidR="006A76B0" w:rsidRPr="00B6328D">
        <w:t>, 2016</w:t>
      </w:r>
    </w:p>
    <w:p w:rsidR="006A76B0" w:rsidRPr="00B6328D" w:rsidRDefault="006A76B0" w:rsidP="006A76B0">
      <w:pPr>
        <w:spacing w:after="0" w:line="240" w:lineRule="auto"/>
        <w:ind w:left="360"/>
      </w:pPr>
    </w:p>
    <w:p w:rsidR="00CF21E3" w:rsidRPr="00B6328D" w:rsidRDefault="00CF21E3" w:rsidP="00E95D29">
      <w:pPr>
        <w:spacing w:after="0" w:line="240" w:lineRule="auto"/>
      </w:pPr>
      <w:r w:rsidRPr="00B6328D">
        <w:t xml:space="preserve">Submitted by </w:t>
      </w:r>
    </w:p>
    <w:p w:rsidR="002B5543" w:rsidRPr="00B6328D" w:rsidRDefault="00CF21E3" w:rsidP="00E95D29">
      <w:pPr>
        <w:spacing w:after="0" w:line="240" w:lineRule="auto"/>
      </w:pPr>
      <w:r w:rsidRPr="00B6328D">
        <w:t xml:space="preserve">Catherine A. Griffith, </w:t>
      </w:r>
      <w:r w:rsidR="00B26B80">
        <w:t xml:space="preserve">PhD, </w:t>
      </w:r>
      <w:r w:rsidRPr="00B6328D">
        <w:t xml:space="preserve">RN, </w:t>
      </w:r>
    </w:p>
    <w:p w:rsidR="008B6A4E" w:rsidRPr="00B6328D" w:rsidRDefault="00CF21E3" w:rsidP="00E95D29">
      <w:pPr>
        <w:spacing w:after="0" w:line="240" w:lineRule="auto"/>
      </w:pPr>
      <w:r w:rsidRPr="00B6328D">
        <w:t>Research Committee Facilitator</w:t>
      </w:r>
      <w:bookmarkStart w:id="0" w:name="_GoBack"/>
      <w:bookmarkEnd w:id="0"/>
    </w:p>
    <w:sectPr w:rsidR="008B6A4E" w:rsidRPr="00B6328D" w:rsidSect="000D1112">
      <w:headerReference w:type="even" r:id="rId9"/>
      <w:headerReference w:type="default" r:id="rId10"/>
      <w:footerReference w:type="even" r:id="rId11"/>
      <w:footerReference w:type="default" r:id="rId12"/>
      <w:headerReference w:type="first" r:id="rId13"/>
      <w:footerReference w:type="first" r:id="rId14"/>
      <w:pgSz w:w="12240" w:h="15840" w:code="1"/>
      <w:pgMar w:top="1440" w:right="900" w:bottom="1008" w:left="1440"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2E0" w:rsidRDefault="005B02E0" w:rsidP="00262927">
      <w:pPr>
        <w:spacing w:after="0" w:line="240" w:lineRule="auto"/>
      </w:pPr>
      <w:r>
        <w:separator/>
      </w:r>
    </w:p>
  </w:endnote>
  <w:endnote w:type="continuationSeparator" w:id="0">
    <w:p w:rsidR="005B02E0" w:rsidRDefault="005B02E0" w:rsidP="00262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ZapfHumnst Ult BT">
    <w:altName w:val="ZapfHumnst U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37" w:rsidRDefault="00B12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37" w:rsidRDefault="00B126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37" w:rsidRDefault="00B12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2E0" w:rsidRDefault="005B02E0" w:rsidP="00262927">
      <w:pPr>
        <w:spacing w:after="0" w:line="240" w:lineRule="auto"/>
      </w:pPr>
      <w:r>
        <w:separator/>
      </w:r>
    </w:p>
  </w:footnote>
  <w:footnote w:type="continuationSeparator" w:id="0">
    <w:p w:rsidR="005B02E0" w:rsidRDefault="005B02E0" w:rsidP="00262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37" w:rsidRDefault="00B126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61D" w:rsidRDefault="00FF1AD2" w:rsidP="0001018F">
    <w:pPr>
      <w:pStyle w:val="Header"/>
    </w:pPr>
    <w:r>
      <w:t xml:space="preserve">Draft </w:t>
    </w:r>
    <w:r w:rsidR="00E9061D">
      <w:t>IAC</w:t>
    </w:r>
    <w:r w:rsidR="00D03835">
      <w:t>RN Research Committee Minutes 06</w:t>
    </w:r>
    <w:r w:rsidR="00034B78">
      <w:t>/08</w:t>
    </w:r>
    <w:r w:rsidR="003C6583">
      <w:t>/2016</w:t>
    </w:r>
    <w:r w:rsidR="00E9061D">
      <w:t xml:space="preserve"> </w:t>
    </w:r>
    <w:r w:rsidR="005101DC">
      <w:t xml:space="preserve"> </w:t>
    </w:r>
    <w:r w:rsidR="005101DC">
      <w:tab/>
      <w:t xml:space="preserve">page </w:t>
    </w:r>
    <w:r w:rsidR="007055A3">
      <w:fldChar w:fldCharType="begin"/>
    </w:r>
    <w:r w:rsidR="005101DC">
      <w:instrText xml:space="preserve"> PAGE  \* Arabic  \* MERGEFORMAT </w:instrText>
    </w:r>
    <w:r w:rsidR="007055A3">
      <w:fldChar w:fldCharType="separate"/>
    </w:r>
    <w:r w:rsidR="00765268">
      <w:rPr>
        <w:noProof/>
      </w:rPr>
      <w:t>1</w:t>
    </w:r>
    <w:r w:rsidR="007055A3">
      <w:fldChar w:fldCharType="end"/>
    </w:r>
    <w:r w:rsidR="00E9061D">
      <w:t xml:space="preserve">                                                                                                </w:t>
    </w:r>
  </w:p>
  <w:p w:rsidR="00AF1ECB" w:rsidRDefault="00AF1E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37" w:rsidRDefault="00B126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B4B"/>
    <w:multiLevelType w:val="hybridMultilevel"/>
    <w:tmpl w:val="2DE07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420128"/>
    <w:multiLevelType w:val="hybridMultilevel"/>
    <w:tmpl w:val="0A2CA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F2B1D"/>
    <w:multiLevelType w:val="hybridMultilevel"/>
    <w:tmpl w:val="94C02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4458E"/>
    <w:multiLevelType w:val="hybridMultilevel"/>
    <w:tmpl w:val="43F69F5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4B4A61"/>
    <w:multiLevelType w:val="hybridMultilevel"/>
    <w:tmpl w:val="443AB5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A6456E"/>
    <w:multiLevelType w:val="hybridMultilevel"/>
    <w:tmpl w:val="6CA8E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B673E"/>
    <w:multiLevelType w:val="hybridMultilevel"/>
    <w:tmpl w:val="1108E1A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A543A1D"/>
    <w:multiLevelType w:val="hybridMultilevel"/>
    <w:tmpl w:val="38FCA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612CDC"/>
    <w:multiLevelType w:val="hybridMultilevel"/>
    <w:tmpl w:val="7076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0D0931"/>
    <w:multiLevelType w:val="hybridMultilevel"/>
    <w:tmpl w:val="A6E08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03E7F"/>
    <w:multiLevelType w:val="hybridMultilevel"/>
    <w:tmpl w:val="946A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24285"/>
    <w:multiLevelType w:val="hybridMultilevel"/>
    <w:tmpl w:val="67C8D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896F56"/>
    <w:multiLevelType w:val="hybridMultilevel"/>
    <w:tmpl w:val="B0CC0B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9"/>
  </w:num>
  <w:num w:numId="4">
    <w:abstractNumId w:val="1"/>
  </w:num>
  <w:num w:numId="5">
    <w:abstractNumId w:val="8"/>
  </w:num>
  <w:num w:numId="6">
    <w:abstractNumId w:val="11"/>
  </w:num>
  <w:num w:numId="7">
    <w:abstractNumId w:val="4"/>
  </w:num>
  <w:num w:numId="8">
    <w:abstractNumId w:val="10"/>
  </w:num>
  <w:num w:numId="9">
    <w:abstractNumId w:val="5"/>
  </w:num>
  <w:num w:numId="10">
    <w:abstractNumId w:val="7"/>
  </w:num>
  <w:num w:numId="11">
    <w:abstractNumId w:val="3"/>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72F48"/>
    <w:rsid w:val="00003DC8"/>
    <w:rsid w:val="0001018F"/>
    <w:rsid w:val="00012BF7"/>
    <w:rsid w:val="000138EB"/>
    <w:rsid w:val="00015392"/>
    <w:rsid w:val="00034B78"/>
    <w:rsid w:val="000404BE"/>
    <w:rsid w:val="00062E42"/>
    <w:rsid w:val="0007554E"/>
    <w:rsid w:val="00091CD9"/>
    <w:rsid w:val="000A7851"/>
    <w:rsid w:val="000B3468"/>
    <w:rsid w:val="000B42EF"/>
    <w:rsid w:val="000D01EA"/>
    <w:rsid w:val="000D09E8"/>
    <w:rsid w:val="000D1112"/>
    <w:rsid w:val="000D4C3E"/>
    <w:rsid w:val="000D5729"/>
    <w:rsid w:val="000E5607"/>
    <w:rsid w:val="000E63D7"/>
    <w:rsid w:val="0010184D"/>
    <w:rsid w:val="001509BB"/>
    <w:rsid w:val="00151748"/>
    <w:rsid w:val="001A27AC"/>
    <w:rsid w:val="001C3848"/>
    <w:rsid w:val="001F14AB"/>
    <w:rsid w:val="00201A8D"/>
    <w:rsid w:val="00214B84"/>
    <w:rsid w:val="00230A38"/>
    <w:rsid w:val="00262927"/>
    <w:rsid w:val="00284A83"/>
    <w:rsid w:val="00286CB5"/>
    <w:rsid w:val="002B4A7A"/>
    <w:rsid w:val="002B5543"/>
    <w:rsid w:val="002B6B5B"/>
    <w:rsid w:val="002D21C6"/>
    <w:rsid w:val="003074B0"/>
    <w:rsid w:val="00321EC8"/>
    <w:rsid w:val="00326626"/>
    <w:rsid w:val="00340331"/>
    <w:rsid w:val="00344AB9"/>
    <w:rsid w:val="0037095F"/>
    <w:rsid w:val="00372521"/>
    <w:rsid w:val="003A5054"/>
    <w:rsid w:val="003C6583"/>
    <w:rsid w:val="004004F6"/>
    <w:rsid w:val="00405DE2"/>
    <w:rsid w:val="004204D3"/>
    <w:rsid w:val="00421FC5"/>
    <w:rsid w:val="00422DB7"/>
    <w:rsid w:val="00425FF2"/>
    <w:rsid w:val="00442507"/>
    <w:rsid w:val="0044280C"/>
    <w:rsid w:val="0044591A"/>
    <w:rsid w:val="0045781E"/>
    <w:rsid w:val="00472FEA"/>
    <w:rsid w:val="004934E5"/>
    <w:rsid w:val="004953E0"/>
    <w:rsid w:val="004A7B9B"/>
    <w:rsid w:val="004D6EFB"/>
    <w:rsid w:val="004F07E8"/>
    <w:rsid w:val="00501456"/>
    <w:rsid w:val="00503D7C"/>
    <w:rsid w:val="005101DC"/>
    <w:rsid w:val="00525273"/>
    <w:rsid w:val="005711C4"/>
    <w:rsid w:val="00597EBD"/>
    <w:rsid w:val="005B02E0"/>
    <w:rsid w:val="005C502E"/>
    <w:rsid w:val="005D34B8"/>
    <w:rsid w:val="005D48C9"/>
    <w:rsid w:val="005F2017"/>
    <w:rsid w:val="005F33A5"/>
    <w:rsid w:val="00632A80"/>
    <w:rsid w:val="006416C5"/>
    <w:rsid w:val="0064666E"/>
    <w:rsid w:val="00666892"/>
    <w:rsid w:val="006A76B0"/>
    <w:rsid w:val="007055A3"/>
    <w:rsid w:val="00715984"/>
    <w:rsid w:val="00721B53"/>
    <w:rsid w:val="007534D5"/>
    <w:rsid w:val="007624D3"/>
    <w:rsid w:val="00765268"/>
    <w:rsid w:val="00793FE0"/>
    <w:rsid w:val="007B33B4"/>
    <w:rsid w:val="0081084A"/>
    <w:rsid w:val="00816CAE"/>
    <w:rsid w:val="00821830"/>
    <w:rsid w:val="00823E51"/>
    <w:rsid w:val="00887CC9"/>
    <w:rsid w:val="00887F9A"/>
    <w:rsid w:val="008A12DF"/>
    <w:rsid w:val="008B6A4E"/>
    <w:rsid w:val="008D1898"/>
    <w:rsid w:val="008E2ADC"/>
    <w:rsid w:val="008E30D2"/>
    <w:rsid w:val="00911541"/>
    <w:rsid w:val="00920409"/>
    <w:rsid w:val="00932550"/>
    <w:rsid w:val="0094028D"/>
    <w:rsid w:val="009A318E"/>
    <w:rsid w:val="009B3063"/>
    <w:rsid w:val="009C6E5E"/>
    <w:rsid w:val="009D3D1E"/>
    <w:rsid w:val="009E1FDB"/>
    <w:rsid w:val="009E6BB8"/>
    <w:rsid w:val="009F41FF"/>
    <w:rsid w:val="00A024D0"/>
    <w:rsid w:val="00A1749C"/>
    <w:rsid w:val="00A174FB"/>
    <w:rsid w:val="00A2030A"/>
    <w:rsid w:val="00A25121"/>
    <w:rsid w:val="00A25D7E"/>
    <w:rsid w:val="00A470B8"/>
    <w:rsid w:val="00A72F48"/>
    <w:rsid w:val="00A9589A"/>
    <w:rsid w:val="00AC20EC"/>
    <w:rsid w:val="00AC7BB6"/>
    <w:rsid w:val="00AE57F2"/>
    <w:rsid w:val="00AF1ECB"/>
    <w:rsid w:val="00B01F9C"/>
    <w:rsid w:val="00B12637"/>
    <w:rsid w:val="00B17EF8"/>
    <w:rsid w:val="00B226CD"/>
    <w:rsid w:val="00B245BE"/>
    <w:rsid w:val="00B26B80"/>
    <w:rsid w:val="00B62DAD"/>
    <w:rsid w:val="00B6328D"/>
    <w:rsid w:val="00B84C00"/>
    <w:rsid w:val="00BB1E44"/>
    <w:rsid w:val="00BC6EE6"/>
    <w:rsid w:val="00BE3C19"/>
    <w:rsid w:val="00BF66AB"/>
    <w:rsid w:val="00C236C1"/>
    <w:rsid w:val="00C343E6"/>
    <w:rsid w:val="00C36AE8"/>
    <w:rsid w:val="00C565A6"/>
    <w:rsid w:val="00C8598C"/>
    <w:rsid w:val="00C976FB"/>
    <w:rsid w:val="00CF15AE"/>
    <w:rsid w:val="00CF21E3"/>
    <w:rsid w:val="00D03835"/>
    <w:rsid w:val="00D22D20"/>
    <w:rsid w:val="00D72D61"/>
    <w:rsid w:val="00DD02B0"/>
    <w:rsid w:val="00DF3358"/>
    <w:rsid w:val="00DF6CCA"/>
    <w:rsid w:val="00E16136"/>
    <w:rsid w:val="00E27BC9"/>
    <w:rsid w:val="00E607FE"/>
    <w:rsid w:val="00E8348A"/>
    <w:rsid w:val="00E9061D"/>
    <w:rsid w:val="00E95D29"/>
    <w:rsid w:val="00EA5639"/>
    <w:rsid w:val="00EC6E7B"/>
    <w:rsid w:val="00F16B5D"/>
    <w:rsid w:val="00F211A4"/>
    <w:rsid w:val="00F245A9"/>
    <w:rsid w:val="00F24DAB"/>
    <w:rsid w:val="00F27DFD"/>
    <w:rsid w:val="00F3130F"/>
    <w:rsid w:val="00F3200E"/>
    <w:rsid w:val="00F338A1"/>
    <w:rsid w:val="00F344E7"/>
    <w:rsid w:val="00F34EEF"/>
    <w:rsid w:val="00F47164"/>
    <w:rsid w:val="00F82D9E"/>
    <w:rsid w:val="00FC059D"/>
    <w:rsid w:val="00FC791E"/>
    <w:rsid w:val="00FF1AD2"/>
    <w:rsid w:val="00FF4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2F48"/>
    <w:pPr>
      <w:ind w:left="720"/>
      <w:contextualSpacing/>
    </w:pPr>
  </w:style>
  <w:style w:type="paragraph" w:styleId="Header">
    <w:name w:val="header"/>
    <w:basedOn w:val="Normal"/>
    <w:link w:val="HeaderChar"/>
    <w:uiPriority w:val="99"/>
    <w:unhideWhenUsed/>
    <w:rsid w:val="00262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927"/>
  </w:style>
  <w:style w:type="paragraph" w:styleId="Footer">
    <w:name w:val="footer"/>
    <w:basedOn w:val="Normal"/>
    <w:link w:val="FooterChar"/>
    <w:uiPriority w:val="99"/>
    <w:unhideWhenUsed/>
    <w:rsid w:val="00262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927"/>
  </w:style>
  <w:style w:type="paragraph" w:styleId="BalloonText">
    <w:name w:val="Balloon Text"/>
    <w:basedOn w:val="Normal"/>
    <w:link w:val="BalloonTextChar"/>
    <w:uiPriority w:val="99"/>
    <w:semiHidden/>
    <w:unhideWhenUsed/>
    <w:rsid w:val="0026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927"/>
    <w:rPr>
      <w:rFonts w:ascii="Tahoma" w:hAnsi="Tahoma" w:cs="Tahoma"/>
      <w:sz w:val="16"/>
      <w:szCs w:val="16"/>
    </w:rPr>
  </w:style>
  <w:style w:type="character" w:styleId="Hyperlink">
    <w:name w:val="Hyperlink"/>
    <w:basedOn w:val="DefaultParagraphFont"/>
    <w:uiPriority w:val="99"/>
    <w:unhideWhenUsed/>
    <w:rsid w:val="003A5054"/>
    <w:rPr>
      <w:color w:val="0000FF" w:themeColor="hyperlink"/>
      <w:u w:val="single"/>
    </w:rPr>
  </w:style>
  <w:style w:type="character" w:customStyle="1" w:styleId="apple-converted-space">
    <w:name w:val="apple-converted-space"/>
    <w:basedOn w:val="DefaultParagraphFont"/>
    <w:rsid w:val="009A318E"/>
  </w:style>
  <w:style w:type="paragraph" w:customStyle="1" w:styleId="Default">
    <w:name w:val="Default"/>
    <w:rsid w:val="001F14AB"/>
    <w:pPr>
      <w:autoSpaceDE w:val="0"/>
      <w:autoSpaceDN w:val="0"/>
      <w:adjustRightInd w:val="0"/>
      <w:spacing w:after="0" w:line="240" w:lineRule="auto"/>
    </w:pPr>
    <w:rPr>
      <w:rFonts w:ascii="ZapfHumnst Ult BT" w:hAnsi="ZapfHumnst Ult BT" w:cs="ZapfHumnst Ult B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acrn.memberlodg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hlabovitz@gmail.com</cp:lastModifiedBy>
  <cp:revision>2</cp:revision>
  <cp:lastPrinted>2016-04-11T18:14:00Z</cp:lastPrinted>
  <dcterms:created xsi:type="dcterms:W3CDTF">2016-07-14T16:23:00Z</dcterms:created>
  <dcterms:modified xsi:type="dcterms:W3CDTF">2016-07-14T16:23:00Z</dcterms:modified>
</cp:coreProperties>
</file>